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2018年度新疆喀什地区英吉沙县交通运输部门决算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1、贯彻落实交通运输行业法律、法规、规章和政策措施并监督实施。</w:t>
      </w:r>
      <w:r>
        <w:rPr>
          <w:rFonts w:hint="eastAsia" w:ascii="仿宋_GB2312" w:eastAsia="仿宋_GB2312"/>
          <w:sz w:val="32"/>
          <w:szCs w:val="32"/>
        </w:rPr>
        <w:br w:type="textWrapping"/>
      </w:r>
      <w:r>
        <w:rPr>
          <w:rFonts w:hint="eastAsia" w:ascii="仿宋_GB2312" w:eastAsia="仿宋_GB2312"/>
          <w:sz w:val="32"/>
          <w:szCs w:val="32"/>
        </w:rPr>
        <w:t xml:space="preserve">    2、拟定县公路交通运输发展规划并实施。会同有关部门编制县综合交通运输体系规划,承担县公路运输总体规划。参与拟定县交通物流业发展规划。</w:t>
      </w:r>
      <w:r>
        <w:rPr>
          <w:rFonts w:hint="eastAsia" w:ascii="仿宋_GB2312" w:eastAsia="仿宋_GB2312"/>
          <w:sz w:val="32"/>
          <w:szCs w:val="32"/>
        </w:rPr>
        <w:br w:type="textWrapping"/>
      </w:r>
      <w:r>
        <w:rPr>
          <w:rFonts w:hint="eastAsia" w:ascii="仿宋_GB2312" w:eastAsia="仿宋_GB2312"/>
          <w:sz w:val="32"/>
          <w:szCs w:val="32"/>
        </w:rPr>
        <w:t xml:space="preserve">    3、承担县、乡公路(以下简称农村公路)以及专用公路建设和重点公路工程建设项目的协调工作。负责县农村公路路政及县道养护工作，指导监督各乡镇做好乡道、村道的管理和养护工作。</w:t>
      </w:r>
      <w:r>
        <w:rPr>
          <w:rFonts w:hint="eastAsia" w:ascii="仿宋_GB2312" w:eastAsia="仿宋_GB2312"/>
          <w:sz w:val="32"/>
          <w:szCs w:val="32"/>
        </w:rPr>
        <w:br w:type="textWrapping"/>
      </w:r>
      <w:r>
        <w:rPr>
          <w:rFonts w:hint="eastAsia" w:ascii="仿宋_GB2312" w:eastAsia="仿宋_GB2312"/>
          <w:sz w:val="32"/>
          <w:szCs w:val="32"/>
        </w:rPr>
        <w:t xml:space="preserve">    4、监督指导县道路运输市场。指导公路运输经济及技术管理;监督车辆维修、营运车辆综合性能检测、机动车驾驶员培训等工作的行业管理;指导做好城乡客运及有关设施规划和管理工作;负责出租汽车行业管理;监督交通运输行业安全生产和应急管理工作;按规定协调配合重点物资和紧急客货运输。</w:t>
      </w:r>
      <w:r>
        <w:rPr>
          <w:rFonts w:hint="eastAsia" w:ascii="仿宋_GB2312" w:eastAsia="仿宋_GB2312"/>
          <w:sz w:val="32"/>
          <w:szCs w:val="32"/>
        </w:rPr>
        <w:br w:type="textWrapping"/>
      </w:r>
      <w:r>
        <w:rPr>
          <w:rFonts w:hint="eastAsia" w:ascii="仿宋_GB2312" w:eastAsia="仿宋_GB2312"/>
          <w:sz w:val="32"/>
          <w:szCs w:val="32"/>
        </w:rPr>
        <w:t xml:space="preserve">    5、引导交通运输行业优化结构、协调发展;会同有关部门培育和指导交通运输市场和交通基础设施建设市场，建立完善信息、服务、信用评价考核体系，维护县交通运输行业的平等竞争秩序;监督交通运输行业单位国有资产的管理;指导交通运输行业环境保护和节能减排工作。</w:t>
      </w:r>
      <w:r>
        <w:rPr>
          <w:rFonts w:hint="eastAsia" w:ascii="仿宋_GB2312" w:eastAsia="仿宋_GB2312"/>
          <w:sz w:val="32"/>
          <w:szCs w:val="32"/>
        </w:rPr>
        <w:br w:type="textWrapping"/>
      </w:r>
      <w:r>
        <w:rPr>
          <w:rFonts w:hint="eastAsia" w:ascii="仿宋_GB2312" w:eastAsia="仿宋_GB2312"/>
          <w:sz w:val="32"/>
          <w:szCs w:val="32"/>
        </w:rPr>
        <w:t xml:space="preserve">    6、负责县农村公路建设项目审计和统计工作。</w:t>
      </w:r>
      <w:r>
        <w:rPr>
          <w:rFonts w:hint="eastAsia" w:ascii="仿宋_GB2312" w:eastAsia="仿宋_GB2312"/>
          <w:sz w:val="32"/>
          <w:szCs w:val="32"/>
        </w:rPr>
        <w:br w:type="textWrapping"/>
      </w:r>
      <w:r>
        <w:rPr>
          <w:rFonts w:hint="eastAsia" w:ascii="仿宋_GB2312" w:eastAsia="仿宋_GB2312"/>
          <w:sz w:val="32"/>
          <w:szCs w:val="32"/>
        </w:rPr>
        <w:t xml:space="preserve">    7、负责交通运输行业法制宣传、行政复议、行政应诉、行文执法工作。</w:t>
      </w:r>
      <w:r>
        <w:rPr>
          <w:rFonts w:hint="eastAsia" w:ascii="仿宋_GB2312" w:eastAsia="仿宋_GB2312"/>
          <w:sz w:val="32"/>
          <w:szCs w:val="32"/>
        </w:rPr>
        <w:br w:type="textWrapping"/>
      </w:r>
      <w:r>
        <w:rPr>
          <w:rFonts w:hint="eastAsia" w:ascii="仿宋_GB2312" w:eastAsia="仿宋_GB2312"/>
          <w:sz w:val="32"/>
          <w:szCs w:val="32"/>
        </w:rPr>
        <w:t xml:space="preserve">    8、负责县国防交通战备工作。</w:t>
      </w:r>
      <w:r>
        <w:rPr>
          <w:rFonts w:hint="eastAsia" w:ascii="仿宋_GB2312" w:eastAsia="仿宋_GB2312"/>
          <w:sz w:val="32"/>
          <w:szCs w:val="32"/>
        </w:rPr>
        <w:br w:type="textWrapping"/>
      </w:r>
      <w:r>
        <w:rPr>
          <w:rFonts w:hint="eastAsia" w:ascii="仿宋_GB2312" w:eastAsia="仿宋_GB2312"/>
          <w:sz w:val="32"/>
          <w:szCs w:val="32"/>
        </w:rPr>
        <w:t xml:space="preserve">    9、承办县委、县人民政府和上级交通运输部门交办的其他作。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新疆喀什地区英吉沙县交通运输</w:t>
      </w:r>
      <w:r>
        <w:rPr>
          <w:rFonts w:hint="eastAsia" w:ascii="仿宋_GB2312" w:eastAsia="仿宋_GB2312"/>
          <w:sz w:val="32"/>
          <w:szCs w:val="32"/>
        </w:rPr>
        <w:t>部门决算包括：</w:t>
      </w:r>
      <w:r>
        <w:rPr>
          <w:rFonts w:ascii="仿宋_GB2312" w:eastAsia="仿宋_GB2312"/>
          <w:sz w:val="32"/>
          <w:szCs w:val="32"/>
        </w:rPr>
        <w:t>新疆喀什地区英吉沙县交通运输</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新疆喀什地区英吉沙县交通运输</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新疆喀什地区英吉沙县交通运输</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8,075.95</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，与上年相比，减少1,136.06万元，下降12.33%，减少的主要原因是：</w:t>
      </w:r>
      <w:r>
        <w:rPr>
          <w:rFonts w:hint="eastAsia" w:ascii="仿宋_GB2312" w:eastAsia="仿宋_GB2312"/>
          <w:color w:val="000000" w:themeColor="text1"/>
          <w:sz w:val="32"/>
          <w:szCs w:val="32"/>
        </w:rPr>
        <w:t>本年收入与上年对比减少的原因为2018年度我单位工程项目对比去年减少；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9,417.7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，与上年相比，增加1,547.44万元，增长19.66%，增加的主要原因是：</w:t>
      </w:r>
      <w:r>
        <w:rPr>
          <w:rFonts w:hint="eastAsia" w:ascii="仿宋_GB2312" w:eastAsia="仿宋_GB2312"/>
          <w:color w:val="000000" w:themeColor="text1"/>
          <w:sz w:val="32"/>
          <w:szCs w:val="32"/>
        </w:rPr>
        <w:t>本年收入与上年对比减少的原因为2018年度我单位工程项目对比去年减少；</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，与上年相比，减少1,341.75万元，下降100%，减少的主要原因是：</w:t>
      </w:r>
      <w:r>
        <w:rPr>
          <w:rFonts w:ascii="仿宋_GB2312" w:eastAsia="仿宋_GB2312"/>
          <w:color w:val="000000" w:themeColor="text1"/>
          <w:sz w:val="32"/>
          <w:szCs w:val="32"/>
        </w:rPr>
        <w:t>2018年项目支出紧跟工程进度，完成上年度结转项目。</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8,075.95</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8,075.95</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况：本年收入年初预算数5,024.01万元</w:t>
      </w:r>
      <w:r>
        <w:rPr>
          <w:rFonts w:hint="eastAsia" w:ascii="仿宋_GB2312" w:eastAsia="仿宋_GB2312"/>
          <w:sz w:val="32"/>
          <w:szCs w:val="32"/>
        </w:rPr>
        <w:t>，决算数8,075.95万元</w:t>
      </w:r>
      <w:r>
        <w:rPr>
          <w:rFonts w:ascii="仿宋_GB2312" w:eastAsia="仿宋_GB2312"/>
          <w:sz w:val="32"/>
          <w:szCs w:val="32"/>
        </w:rPr>
        <w:t>，预决算差异率60.75%，差异主要原因是2018年英吉以工代赈工程建设项目收入增加。</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9,417.7</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119.89</w:t>
      </w:r>
      <w:r>
        <w:rPr>
          <w:rFonts w:hint="eastAsia" w:ascii="仿宋_GB2312" w:eastAsia="仿宋_GB2312"/>
          <w:color w:val="000000" w:themeColor="text1"/>
          <w:sz w:val="32"/>
          <w:szCs w:val="32"/>
        </w:rPr>
        <w:t>万元，占</w:t>
      </w:r>
      <w:r>
        <w:rPr>
          <w:rFonts w:hint="eastAsia" w:ascii="仿宋_GB2312" w:eastAsia="仿宋_GB2312"/>
          <w:sz w:val="32"/>
          <w:szCs w:val="32"/>
        </w:rPr>
        <w:t>1.27%</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9,297.82</w:t>
      </w:r>
      <w:r>
        <w:rPr>
          <w:rFonts w:hint="eastAsia" w:ascii="仿宋_GB2312" w:eastAsia="仿宋_GB2312"/>
          <w:color w:val="000000" w:themeColor="text1"/>
          <w:sz w:val="32"/>
          <w:szCs w:val="32"/>
        </w:rPr>
        <w:t>万元，占</w:t>
      </w:r>
      <w:r>
        <w:rPr>
          <w:rFonts w:hint="eastAsia" w:ascii="仿宋_GB2312" w:eastAsia="仿宋_GB2312"/>
          <w:sz w:val="32"/>
          <w:szCs w:val="32"/>
        </w:rPr>
        <w:t>98.73%</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与年初预算数相比情况：本年支出年初预算数5,024.01万元，</w:t>
      </w:r>
      <w:r>
        <w:rPr>
          <w:rFonts w:hint="eastAsia" w:ascii="仿宋_GB2312" w:eastAsia="仿宋_GB2312"/>
          <w:sz w:val="32"/>
          <w:szCs w:val="32"/>
        </w:rPr>
        <w:t>决算数9,417.7万元</w:t>
      </w:r>
      <w:r>
        <w:rPr>
          <w:rFonts w:ascii="仿宋_GB2312" w:eastAsia="仿宋_GB2312"/>
          <w:sz w:val="32"/>
          <w:szCs w:val="32"/>
        </w:rPr>
        <w:t>，预决算差异率87.45%，差异主要原因是2018年英吉以工代赈工程建设项目收入增加。</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8,075.95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，与上年相比，减少1,136.06万元，下降12.33%，减少的主要原因是：2018年车辆购置税项目减少，财政拨款项目收入减少。</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9,417.7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，与上年相比，增加1,547.44万元，增长19.66%，增加的主要原因是：</w:t>
      </w:r>
      <w:r>
        <w:rPr>
          <w:rFonts w:ascii="仿宋_GB2312" w:eastAsia="仿宋_GB2312"/>
          <w:sz w:val="32"/>
          <w:szCs w:val="32"/>
        </w:rPr>
        <w:t>2018年英吉以工代赈工程建设项目收入增加。</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119.89</w:t>
      </w:r>
      <w:r>
        <w:rPr>
          <w:rFonts w:hint="eastAsia" w:ascii="仿宋_GB2312" w:eastAsia="仿宋_GB2312"/>
          <w:color w:val="000000" w:themeColor="text1"/>
          <w:sz w:val="32"/>
          <w:szCs w:val="32"/>
        </w:rPr>
        <w:t>万元，项目支出</w:t>
      </w:r>
      <w:r>
        <w:rPr>
          <w:rFonts w:hint="eastAsia" w:ascii="仿宋_GB2312" w:eastAsia="仿宋_GB2312"/>
          <w:sz w:val="32"/>
          <w:szCs w:val="32"/>
        </w:rPr>
        <w:t>9,297.82</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，与上年相比，减少1,341.75万元，下降100%，减少的主要原因是：完成上年度结转项目。</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5,024.01</w:t>
      </w:r>
      <w:r>
        <w:rPr>
          <w:rFonts w:hint="eastAsia" w:ascii="仿宋_GB2312" w:eastAsia="仿宋_GB2312"/>
          <w:color w:val="000000" w:themeColor="text1"/>
          <w:sz w:val="32"/>
          <w:szCs w:val="32"/>
        </w:rPr>
        <w:t>万元，决算数</w:t>
      </w:r>
      <w:r>
        <w:rPr>
          <w:rFonts w:hint="eastAsia" w:ascii="仿宋_GB2312" w:eastAsia="仿宋_GB2312"/>
          <w:sz w:val="32"/>
          <w:szCs w:val="32"/>
        </w:rPr>
        <w:t>8,075.95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，预决算差异率60.75%，差异主要原因是2018年英吉沙县以工代赈工程建设项目收入增加。</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5,024.01</w:t>
      </w:r>
      <w:r>
        <w:rPr>
          <w:rFonts w:hint="eastAsia" w:ascii="仿宋_GB2312" w:eastAsia="仿宋_GB2312"/>
          <w:color w:val="000000" w:themeColor="text1"/>
          <w:sz w:val="32"/>
          <w:szCs w:val="32"/>
        </w:rPr>
        <w:t>万元，决算数</w:t>
      </w:r>
      <w:r>
        <w:rPr>
          <w:rFonts w:hint="eastAsia" w:ascii="仿宋_GB2312" w:eastAsia="仿宋_GB2312"/>
          <w:sz w:val="32"/>
          <w:szCs w:val="32"/>
        </w:rPr>
        <w:t>9,417.7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，预决算差异率87.45%，差异主要原因是2018年英吉沙县以工代赈工程建设项目收入增加。</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8,075.95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，与上年相比，减少1,136.06万元，下降12.33%，减少的主要原因是：2018年度我单位工程项目，对比去年减少一般公共预算财政拨款项目支出减少。</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9,417.7</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，与上年相比，增加1,547.44万元，增长19.66%，增加的主要原因是：2018年英吉以工代赈工程建设项目收入增加。</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住房保障支出7.08万元,一般公共服务支出101.49万元,农林水支出4,379.5万元,交通运输支出4,918.32万元,社会保障和就业支出11.31万元。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工资福利支出105.42万元,商品和服务支出9.26万元,对个人和家庭的补助5.21万元,资本性支出（基本建设）7,594.87万元,对企业补助1,702.94万元。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5,024.01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8,075.95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，预决算差异率60.75%，差异主要原因是2018年英吉以工代赈工程建设项目收入增加。</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5,024.01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9,417.7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，预决算差异率87.45%，差异主要原因是2018年英吉以工代赈工程建设项目收入增加。</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，与上年相比无变化，主要原因是：本单位无此项预算安排。</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，与上年相比无变化，主要原因是：本单位无此项预算安排。</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，预决算差异率0%，差异主要原因是本单位无此项预算安排。</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，预决算差异率0%，差异主要原因是本单位无此项预算安排。</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。与上年相比，减少1,341.75万元，下降100%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。与上年相比，减少1,341.75万元，下降100%。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hint="eastAsia" w:ascii="仿宋_GB2312" w:eastAsia="仿宋_GB2312"/>
          <w:sz w:val="32"/>
          <w:szCs w:val="32"/>
        </w:rPr>
      </w:pPr>
      <w:bookmarkStart w:id="56" w:name="OLE_LINK85"/>
      <w:r>
        <w:rPr>
          <w:rFonts w:hint="eastAsia" w:ascii="仿宋_GB2312" w:eastAsia="仿宋_GB2312"/>
          <w:sz w:val="32"/>
          <w:szCs w:val="32"/>
          <w:lang w:val="en-US" w:eastAsia="zh-CN"/>
        </w:rPr>
        <w:t>2018</w:t>
      </w:r>
      <w:r>
        <w:rPr>
          <w:rFonts w:hint="eastAsia" w:ascii="仿宋_GB2312" w:eastAsia="仿宋_GB2312"/>
          <w:sz w:val="32"/>
          <w:szCs w:val="32"/>
        </w:rPr>
        <w:t>年度一般公共预算“三公”经费支出决算</w:t>
      </w:r>
      <w:r>
        <w:rPr>
          <w:rFonts w:hint="eastAsia" w:ascii="仿宋_GB2312" w:eastAsia="仿宋_GB2312"/>
          <w:sz w:val="32"/>
          <w:szCs w:val="32"/>
          <w:lang w:val="en-US" w:eastAsia="zh-CN"/>
        </w:rPr>
        <w:t>2.25</w:t>
      </w:r>
      <w:r>
        <w:rPr>
          <w:rFonts w:hint="eastAsia" w:ascii="仿宋_GB2312" w:eastAsia="仿宋_GB2312"/>
          <w:sz w:val="32"/>
          <w:szCs w:val="32"/>
        </w:rPr>
        <w:t>万元，比上年增加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%，增加原因是严格执行“三公”经费只减不增的要求。其中，因公出国（境）费支出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%，增加原因是本单位无此项预算安安排，无此项经费支出；公务用车购置及运行维护费支出</w:t>
      </w:r>
      <w:r>
        <w:rPr>
          <w:rFonts w:hint="eastAsia" w:ascii="仿宋_GB2312" w:eastAsia="仿宋_GB2312"/>
          <w:sz w:val="32"/>
          <w:szCs w:val="32"/>
          <w:lang w:val="en-US" w:eastAsia="zh-CN"/>
        </w:rPr>
        <w:t>2.25</w:t>
      </w:r>
      <w:r>
        <w:rPr>
          <w:rFonts w:hint="eastAsia" w:ascii="仿宋_GB2312" w:eastAsia="仿宋_GB2312"/>
          <w:sz w:val="32"/>
          <w:szCs w:val="32"/>
        </w:rPr>
        <w:t>万元，占100%，比上年增加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%，增加原因是严格执行“三公”经费只减不增的要求；公务接待费支出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%，增加原因是本单位无此项预算安安排，无此项经费支出。具体情况如下：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新疆喀什地区</w:t>
      </w:r>
      <w:r>
        <w:rPr>
          <w:rFonts w:ascii="仿宋_GB2312" w:eastAsia="仿宋_GB2312"/>
          <w:sz w:val="32"/>
          <w:szCs w:val="32"/>
        </w:rPr>
        <w:t>英吉沙县交通运输</w:t>
      </w:r>
      <w:r>
        <w:rPr>
          <w:rFonts w:hint="eastAsia" w:ascii="仿宋_GB2312" w:eastAsia="仿宋_GB2312"/>
          <w:sz w:val="32"/>
          <w:szCs w:val="32"/>
          <w:lang w:eastAsia="zh-CN"/>
        </w:rPr>
        <w:t>局</w:t>
      </w:r>
      <w:r>
        <w:rPr>
          <w:rFonts w:hint="eastAsia" w:ascii="仿宋_GB2312" w:eastAsia="仿宋_GB2312"/>
          <w:sz w:val="32"/>
          <w:szCs w:val="32"/>
        </w:rPr>
        <w:t>全年使用一般公共预算财政拨款安排的出国（境）团组</w:t>
      </w:r>
      <w:r>
        <w:rPr>
          <w:rFonts w:hint="eastAsia" w:ascii="仿宋_GB2312" w:eastAsia="仿宋_GB2312"/>
          <w:sz w:val="32"/>
          <w:szCs w:val="32"/>
          <w:lang w:val="en-US" w:eastAsia="zh-CN"/>
        </w:rPr>
        <w:t>0</w:t>
      </w:r>
      <w:r>
        <w:rPr>
          <w:rFonts w:hint="eastAsia" w:ascii="仿宋_GB2312" w:eastAsia="仿宋_GB2312"/>
          <w:sz w:val="32"/>
          <w:szCs w:val="32"/>
        </w:rPr>
        <w:t>个，累计</w:t>
      </w:r>
      <w:r>
        <w:rPr>
          <w:rFonts w:hint="eastAsia" w:ascii="仿宋_GB2312" w:eastAsia="仿宋_GB2312"/>
          <w:sz w:val="32"/>
          <w:szCs w:val="32"/>
          <w:lang w:val="en-US" w:eastAsia="zh-CN"/>
        </w:rPr>
        <w:t>0</w:t>
      </w:r>
      <w:r>
        <w:rPr>
          <w:rFonts w:hint="eastAsia" w:ascii="仿宋_GB2312" w:eastAsia="仿宋_GB2312"/>
          <w:sz w:val="32"/>
          <w:szCs w:val="32"/>
        </w:rPr>
        <w:t>人次。开支内容包括：</w:t>
      </w:r>
      <w:r>
        <w:rPr>
          <w:rFonts w:ascii="仿宋_GB2312" w:eastAsia="仿宋_GB2312"/>
          <w:color w:val="000000" w:themeColor="text1"/>
          <w:sz w:val="32"/>
          <w:szCs w:val="32"/>
        </w:rPr>
        <w:t>本单位无此项预算安安排，无此项经费支出</w:t>
      </w:r>
      <w:r>
        <w:rPr>
          <w:rFonts w:hint="eastAsia" w:ascii="仿宋_GB2312" w:eastAsia="仿宋_GB2312"/>
          <w:sz w:val="32"/>
          <w:szCs w:val="32"/>
        </w:rPr>
        <w:t>。</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公务用车购置及运行维护费</w:t>
      </w:r>
      <w:r>
        <w:rPr>
          <w:rFonts w:hint="eastAsia" w:ascii="仿宋_GB2312" w:eastAsia="仿宋_GB2312"/>
          <w:sz w:val="32"/>
          <w:szCs w:val="32"/>
          <w:lang w:val="en-US" w:eastAsia="zh-CN"/>
        </w:rPr>
        <w:t>2.25</w:t>
      </w:r>
      <w:r>
        <w:rPr>
          <w:rFonts w:hint="eastAsia" w:ascii="仿宋_GB2312" w:eastAsia="仿宋_GB2312"/>
          <w:sz w:val="32"/>
          <w:szCs w:val="32"/>
        </w:rPr>
        <w:t>万元,其中，公务用车购置</w:t>
      </w:r>
      <w:r>
        <w:rPr>
          <w:rFonts w:hint="eastAsia" w:ascii="仿宋_GB2312" w:eastAsia="仿宋_GB2312"/>
          <w:sz w:val="32"/>
          <w:szCs w:val="32"/>
          <w:lang w:val="en-US" w:eastAsia="zh-CN"/>
        </w:rPr>
        <w:t>0</w:t>
      </w:r>
      <w:bookmarkStart w:id="68" w:name="_GoBack"/>
      <w:bookmarkEnd w:id="68"/>
      <w:r>
        <w:rPr>
          <w:rFonts w:hint="eastAsia" w:ascii="仿宋_GB2312" w:eastAsia="仿宋_GB2312"/>
          <w:sz w:val="32"/>
          <w:szCs w:val="32"/>
        </w:rPr>
        <w:t>万元，公务用车运行维护费</w:t>
      </w:r>
      <w:r>
        <w:rPr>
          <w:rFonts w:hint="eastAsia" w:ascii="仿宋_GB2312" w:eastAsia="仿宋_GB2312"/>
          <w:sz w:val="32"/>
          <w:szCs w:val="32"/>
          <w:lang w:val="en-US" w:eastAsia="zh-CN"/>
        </w:rPr>
        <w:t>2.25</w:t>
      </w:r>
      <w:r>
        <w:rPr>
          <w:rFonts w:hint="eastAsia" w:ascii="仿宋_GB2312" w:eastAsia="仿宋_GB2312"/>
          <w:sz w:val="32"/>
          <w:szCs w:val="32"/>
        </w:rPr>
        <w:t>万元。主要用于</w:t>
      </w:r>
      <w:r>
        <w:rPr>
          <w:rFonts w:hint="eastAsia" w:ascii="仿宋_GB2312" w:eastAsia="仿宋_GB2312"/>
          <w:color w:val="auto"/>
          <w:sz w:val="32"/>
          <w:szCs w:val="32"/>
        </w:rPr>
        <w:t>车辆保险费、维修费、加油费、过路费</w:t>
      </w:r>
      <w:r>
        <w:rPr>
          <w:rFonts w:hint="eastAsia" w:ascii="仿宋_GB2312" w:eastAsia="仿宋_GB2312"/>
          <w:sz w:val="32"/>
          <w:szCs w:val="32"/>
        </w:rPr>
        <w:t>等。</w:t>
      </w:r>
      <w:r>
        <w:rPr>
          <w:rFonts w:hint="eastAsia" w:ascii="仿宋_GB2312" w:eastAsia="仿宋_GB2312"/>
          <w:sz w:val="32"/>
          <w:szCs w:val="32"/>
          <w:lang w:eastAsia="zh-CN"/>
        </w:rPr>
        <w:t>新疆喀什地区</w:t>
      </w:r>
      <w:r>
        <w:rPr>
          <w:rFonts w:ascii="仿宋_GB2312" w:eastAsia="仿宋_GB2312"/>
          <w:sz w:val="32"/>
          <w:szCs w:val="32"/>
        </w:rPr>
        <w:t>英吉沙县交通运输</w:t>
      </w:r>
      <w:r>
        <w:rPr>
          <w:rFonts w:hint="eastAsia" w:ascii="仿宋_GB2312" w:eastAsia="仿宋_GB2312"/>
          <w:sz w:val="32"/>
          <w:szCs w:val="32"/>
          <w:lang w:eastAsia="zh-CN"/>
        </w:rPr>
        <w:t>局</w:t>
      </w:r>
      <w:r>
        <w:rPr>
          <w:rFonts w:hint="eastAsia" w:ascii="仿宋_GB2312" w:eastAsia="仿宋_GB2312"/>
          <w:sz w:val="32"/>
          <w:szCs w:val="32"/>
        </w:rPr>
        <w:t>一般公共财政拨款安排的公务用车购置量</w:t>
      </w:r>
      <w:r>
        <w:rPr>
          <w:rFonts w:hint="eastAsia" w:ascii="仿宋_GB2312" w:eastAsia="仿宋_GB2312"/>
          <w:sz w:val="32"/>
          <w:szCs w:val="32"/>
          <w:lang w:val="en-US" w:eastAsia="zh-CN"/>
        </w:rPr>
        <w:t>0</w:t>
      </w:r>
      <w:r>
        <w:rPr>
          <w:rFonts w:hint="eastAsia" w:ascii="仿宋_GB2312" w:eastAsia="仿宋_GB2312"/>
          <w:sz w:val="32"/>
          <w:szCs w:val="32"/>
        </w:rPr>
        <w:t>辆，保有量为</w:t>
      </w:r>
      <w:r>
        <w:rPr>
          <w:rFonts w:hint="eastAsia" w:ascii="仿宋_GB2312" w:eastAsia="仿宋_GB2312"/>
          <w:sz w:val="32"/>
          <w:szCs w:val="32"/>
          <w:lang w:val="en-US" w:eastAsia="zh-CN"/>
        </w:rPr>
        <w:t>1</w:t>
      </w:r>
      <w:r>
        <w:rPr>
          <w:rFonts w:hint="eastAsia" w:ascii="仿宋_GB2312" w:eastAsia="仿宋_GB2312"/>
          <w:sz w:val="32"/>
          <w:szCs w:val="32"/>
        </w:rPr>
        <w:t>辆。</w:t>
      </w:r>
    </w:p>
    <w:p>
      <w:pPr>
        <w:spacing w:line="540" w:lineRule="exact"/>
        <w:ind w:firstLine="640" w:firstLineChars="200"/>
        <w:rPr>
          <w:rFonts w:ascii="仿宋_GB2312" w:hAnsi="宋体" w:eastAsia="仿宋_GB2312" w:cs="宋体"/>
          <w:color w:val="000000" w:themeColor="text1"/>
          <w:kern w:val="0"/>
          <w:sz w:val="32"/>
          <w:szCs w:val="32"/>
        </w:rPr>
      </w:pPr>
      <w:r>
        <w:rPr>
          <w:rFonts w:hint="eastAsia" w:ascii="仿宋_GB2312" w:eastAsia="仿宋_GB2312"/>
          <w:sz w:val="32"/>
          <w:szCs w:val="32"/>
        </w:rPr>
        <w:t>公务接待费</w:t>
      </w:r>
      <w:r>
        <w:rPr>
          <w:rFonts w:hint="eastAsia" w:ascii="仿宋_GB2312" w:eastAsia="仿宋_GB2312"/>
          <w:sz w:val="32"/>
          <w:szCs w:val="32"/>
          <w:lang w:val="en-US" w:eastAsia="zh-CN"/>
        </w:rPr>
        <w:t>0</w:t>
      </w:r>
      <w:r>
        <w:rPr>
          <w:rFonts w:hint="eastAsia" w:ascii="仿宋_GB2312" w:eastAsia="仿宋_GB2312"/>
          <w:sz w:val="32"/>
          <w:szCs w:val="32"/>
        </w:rPr>
        <w:t>万元。具体是：国内公务接待支出</w:t>
      </w:r>
      <w:r>
        <w:rPr>
          <w:rFonts w:hint="eastAsia" w:ascii="仿宋_GB2312" w:eastAsia="仿宋_GB2312"/>
          <w:sz w:val="32"/>
          <w:szCs w:val="32"/>
          <w:lang w:val="en-US" w:eastAsia="zh-CN"/>
        </w:rPr>
        <w:t>0</w:t>
      </w:r>
      <w:r>
        <w:rPr>
          <w:rFonts w:hint="eastAsia" w:ascii="仿宋_GB2312" w:eastAsia="仿宋_GB2312"/>
          <w:sz w:val="32"/>
          <w:szCs w:val="32"/>
        </w:rPr>
        <w:t>万元，主要是无此项经费支出。单位国内公务接待</w:t>
      </w:r>
      <w:r>
        <w:rPr>
          <w:rFonts w:hint="eastAsia" w:ascii="仿宋_GB2312" w:eastAsia="仿宋_GB2312"/>
          <w:sz w:val="32"/>
          <w:szCs w:val="32"/>
          <w:lang w:val="en-US" w:eastAsia="zh-CN"/>
        </w:rPr>
        <w:t>0</w:t>
      </w:r>
      <w:r>
        <w:rPr>
          <w:rFonts w:hint="eastAsia" w:ascii="仿宋_GB2312" w:eastAsia="仿宋_GB2312"/>
          <w:sz w:val="32"/>
          <w:szCs w:val="32"/>
        </w:rPr>
        <w:t>批次，</w:t>
      </w:r>
      <w:r>
        <w:rPr>
          <w:rFonts w:hint="eastAsia" w:ascii="仿宋_GB2312" w:eastAsia="仿宋_GB2312"/>
          <w:sz w:val="32"/>
          <w:szCs w:val="32"/>
          <w:lang w:val="en-US" w:eastAsia="zh-CN"/>
        </w:rPr>
        <w:t>0</w:t>
      </w:r>
      <w:r>
        <w:rPr>
          <w:rFonts w:hint="eastAsia" w:ascii="仿宋_GB2312" w:eastAsia="仿宋_GB2312"/>
          <w:sz w:val="32"/>
          <w:szCs w:val="32"/>
        </w:rPr>
        <w:t>人次。</w:t>
      </w:r>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2.25</w:t>
      </w:r>
      <w:r>
        <w:rPr>
          <w:rFonts w:hint="eastAsia" w:ascii="仿宋_GB2312" w:eastAsia="仿宋_GB2312"/>
          <w:color w:val="000000" w:themeColor="text1"/>
          <w:sz w:val="32"/>
          <w:szCs w:val="32"/>
        </w:rPr>
        <w:t>万元，决算数2.25万元</w:t>
      </w:r>
      <w:r>
        <w:rPr>
          <w:rFonts w:ascii="仿宋_GB2312" w:eastAsia="仿宋_GB2312"/>
          <w:color w:val="000000" w:themeColor="text1"/>
          <w:sz w:val="32"/>
          <w:szCs w:val="32"/>
        </w:rPr>
        <w:t>，预决算差异率0%，差异主要原因是本单位无此项预算安排。</w:t>
      </w:r>
      <w:bookmarkEnd w:id="56"/>
      <w:bookmarkStart w:id="57" w:name="OLE_LINK87"/>
      <w:bookmarkStart w:id="58"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，预决算差异率0%，差异主要原因是本单位无此项预算安排；</w:t>
      </w:r>
      <w:bookmarkEnd w:id="57"/>
      <w:bookmarkEnd w:id="58"/>
      <w:bookmarkStart w:id="59" w:name="OLE_LINK88"/>
      <w:bookmarkStart w:id="60"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，预决算差异率0%，差异主要原因是本单位无此项预算安排；</w:t>
      </w:r>
      <w:bookmarkEnd w:id="59"/>
      <w:bookmarkEnd w:id="60"/>
      <w:bookmarkStart w:id="61"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2.25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2.25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，预决算差异率0%，差异主要原因是严格执行“三公”经费只减不增的要求；</w:t>
      </w:r>
      <w:bookmarkEnd w:id="61"/>
      <w:bookmarkStart w:id="62"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62"/>
      <w:r>
        <w:rPr>
          <w:rFonts w:ascii="仿宋_GB2312" w:eastAsia="仿宋_GB2312"/>
          <w:color w:val="000000" w:themeColor="text1"/>
          <w:sz w:val="32"/>
          <w:szCs w:val="32"/>
        </w:rPr>
        <w:t>本单位无此项预算安排。</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2018年度新疆喀什地区英吉沙县交通运输机关运行经费支出9.26万元，与上年相比，增加2.17万元，增长30.61%，增加的主要原因是：</w:t>
      </w:r>
      <w:r>
        <w:rPr>
          <w:rFonts w:hint="eastAsia" w:ascii="仿宋_GB2312" w:eastAsia="仿宋_GB2312"/>
          <w:color w:val="000000" w:themeColor="text1"/>
          <w:sz w:val="32"/>
          <w:szCs w:val="32"/>
          <w:lang w:eastAsia="zh-CN"/>
        </w:rPr>
        <w:t>人员调入，办公经费增加</w:t>
      </w:r>
      <w:r>
        <w:rPr>
          <w:rFonts w:hint="eastAsia" w:ascii="仿宋_GB2312" w:eastAsia="仿宋_GB2312"/>
          <w:color w:val="000000" w:themeColor="text1"/>
          <w:sz w:val="32"/>
          <w:szCs w:val="32"/>
        </w:rPr>
        <w:t>。</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63" w:name="OLE_LINK45"/>
      <w:r>
        <w:rPr>
          <w:rFonts w:hint="eastAsia" w:ascii="仿宋_GB2312" w:eastAsia="仿宋_GB2312"/>
          <w:color w:val="000000" w:themeColor="text1"/>
          <w:sz w:val="32"/>
          <w:szCs w:val="32"/>
        </w:rPr>
        <w:t>政府采购支出总额</w:t>
      </w:r>
      <w:bookmarkEnd w:id="63"/>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64" w:name="OLE_LINK46"/>
      <w:r>
        <w:rPr>
          <w:rFonts w:hint="eastAsia" w:ascii="仿宋_GB2312" w:eastAsia="仿宋_GB2312"/>
          <w:color w:val="000000" w:themeColor="text1"/>
          <w:sz w:val="32"/>
          <w:szCs w:val="32"/>
        </w:rPr>
        <w:t>政府采购货物支出</w:t>
      </w:r>
      <w:bookmarkEnd w:id="64"/>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65" w:name="OLE_LINK47"/>
      <w:r>
        <w:rPr>
          <w:rFonts w:hint="eastAsia" w:ascii="仿宋_GB2312" w:eastAsia="仿宋_GB2312"/>
          <w:color w:val="000000" w:themeColor="text1"/>
          <w:sz w:val="32"/>
          <w:szCs w:val="32"/>
        </w:rPr>
        <w:t>政府采购工程支出</w:t>
      </w:r>
      <w:bookmarkEnd w:id="65"/>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66" w:name="OLE_LINK48"/>
      <w:r>
        <w:rPr>
          <w:rFonts w:hint="eastAsia" w:ascii="仿宋_GB2312" w:eastAsia="仿宋_GB2312"/>
          <w:color w:val="000000" w:themeColor="text1"/>
          <w:sz w:val="32"/>
          <w:szCs w:val="32"/>
        </w:rPr>
        <w:t>政府采购服务支出</w:t>
      </w:r>
      <w:bookmarkEnd w:id="66"/>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67"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2</w:t>
      </w:r>
      <w:r>
        <w:rPr>
          <w:rFonts w:hint="eastAsia" w:ascii="仿宋_GB2312" w:eastAsia="仿宋_GB2312"/>
          <w:color w:val="000000" w:themeColor="text1"/>
          <w:sz w:val="32"/>
          <w:szCs w:val="32"/>
        </w:rPr>
        <w:t>辆，价值</w:t>
      </w:r>
      <w:r>
        <w:rPr>
          <w:rFonts w:hint="eastAsia" w:ascii="仿宋_GB2312" w:eastAsia="仿宋_GB2312"/>
          <w:sz w:val="32"/>
          <w:szCs w:val="32"/>
        </w:rPr>
        <w:t>22.33</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2</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用于公务用车、巡查用车；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67"/>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交通运输2018年度部门预算总额为9297.82万元，执行金额为9297.82万元，预算执行率为100%。本次自评共涉及项目数4个，其中已完成项目4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b w:val="0"/>
          <w:color w:val="000000"/>
          <w:sz w:val="32"/>
          <w:u w:val="none"/>
        </w:rPr>
        <w:t>1、英吉沙县车购税农村公路建设资金项目绩效自评综述：根据年初设定的绩效目标，该项目绩效自评得分为85分。项目全年预算数为3,215.37万元，执行数为3,215.37万元，完成预算的100%。主要产出和效果：通过项目实施，改善和提高居民的出行。发现的问题及原因：项目开工较晚，实施进展较慢。下一步改进措施： 加快支付进度。</w:t>
      </w:r>
    </w:p>
    <w:p>
      <w:pPr>
        <w:spacing w:line="540" w:lineRule="exact"/>
        <w:ind w:left="-1" w:right="-1" w:firstLine="646"/>
        <w:jc w:val="left"/>
      </w:pPr>
      <w:r>
        <w:rPr>
          <w:rFonts w:ascii="仿宋_GB2312" w:hAnsi="仿宋_GB2312" w:eastAsia="仿宋_GB2312" w:cs="仿宋_GB2312"/>
          <w:b w:val="0"/>
          <w:color w:val="000000"/>
          <w:sz w:val="32"/>
          <w:u w:val="none"/>
        </w:rPr>
        <w:t>2、英吉沙县车购税农村公路建设项目绩效自评综述：根据年初设定的绩效目标，该项目绩效自评得分为87分。项目全年预算数为1,295.1万元，执行数为1,295.1万元，完成预算的100%。主要产出和效果：通过项目实施，改善和提高居民的出行。发现的问题及原因：项目开工较晚，实施进展较慢。下一步改进措施： 加快支付进度。</w:t>
      </w:r>
    </w:p>
    <w:p>
      <w:pPr>
        <w:spacing w:line="540" w:lineRule="exact"/>
        <w:ind w:left="-1" w:right="-1" w:firstLine="646"/>
        <w:jc w:val="left"/>
      </w:pPr>
      <w:r>
        <w:rPr>
          <w:rFonts w:ascii="仿宋_GB2312" w:hAnsi="仿宋_GB2312" w:eastAsia="仿宋_GB2312" w:cs="仿宋_GB2312"/>
          <w:b w:val="0"/>
          <w:color w:val="000000"/>
          <w:sz w:val="32"/>
          <w:u w:val="none"/>
        </w:rPr>
        <w:t>3、2015年农村道路客运油价补贴资金项目绩效自评综述：根据年初设定的绩效目标，该项目绩效自评得分为80分。项目全年预算数为1,702.94万元，执行数为1,702.94万元，完成预算的100%。主要产出和效果：保障群众建设，改善农村人居环境。发现的问题及原因：项目开工较晚，实施进展较慢。下一步改进措施： 积极制定施工计划，争取在下一年度施工季加快进度，保质保量完成绩效目标。</w:t>
      </w:r>
    </w:p>
    <w:p>
      <w:pPr>
        <w:spacing w:line="540" w:lineRule="exact"/>
        <w:ind w:left="-1" w:right="-1" w:firstLine="646"/>
        <w:jc w:val="left"/>
      </w:pPr>
      <w:r>
        <w:rPr>
          <w:rFonts w:ascii="仿宋_GB2312" w:hAnsi="仿宋_GB2312" w:eastAsia="仿宋_GB2312" w:cs="仿宋_GB2312"/>
          <w:b w:val="0"/>
          <w:color w:val="000000"/>
          <w:sz w:val="32"/>
          <w:u w:val="none"/>
        </w:rPr>
        <w:t>4、2018年以工代赈项目绩效自评综述：根据年初设定的绩效目标，该项目绩效自评得分为90分。项目全年预算数为3,084.39万元，执行数为3,084.39万元，完成预算的100%。主要产出和效果：该指标标杆值为新增沥青混凝土路面公路里程75公里，项目覆盖乡镇个数该指标标杆值14个，覆盖行政村个数该指标标杆值100个，项目区建档立卡贫困群众满意度95%发现的问题及原因：无。下一步改进措施： 建议预算执行与绩效运行“双监控”成为管理常态，使绩效监控发挥有作用。</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214（类）04（款）02（项）指：对农村道路客运的补贴。214（类）06（款）02（项）指：车辆购置税用于农村公路建设支出。221（类）02（款）01（项）指：住房公积金。213（类）05（款）04（项）指：农村基础设施建设。213（类）01（款）42（项）指：农村道路建设。201（类）03（款）01（项）指：行政运行。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eastAsia="zh-CN"/>
        </w:rPr>
      </w:pPr>
      <w:r>
        <w:rPr>
          <w:rFonts w:ascii="仿宋_GB2312" w:eastAsia="仿宋_GB2312"/>
          <w:sz w:val="32"/>
          <w:szCs w:val="32"/>
        </w:rPr>
        <w:t>英吉沙县交通运输</w:t>
      </w:r>
      <w:r>
        <w:rPr>
          <w:rFonts w:hint="eastAsia" w:ascii="仿宋_GB2312" w:eastAsia="仿宋_GB2312"/>
          <w:sz w:val="32"/>
          <w:szCs w:val="32"/>
          <w:lang w:eastAsia="zh-CN"/>
        </w:rPr>
        <w:t>局</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1B06FC"/>
    <w:rsid w:val="10845F1B"/>
    <w:rsid w:val="11463A00"/>
    <w:rsid w:val="11600918"/>
    <w:rsid w:val="11B0398F"/>
    <w:rsid w:val="13B960C5"/>
    <w:rsid w:val="152777F4"/>
    <w:rsid w:val="15C674B6"/>
    <w:rsid w:val="18D54A0D"/>
    <w:rsid w:val="1A4106A0"/>
    <w:rsid w:val="1A4F5437"/>
    <w:rsid w:val="1AB77CD0"/>
    <w:rsid w:val="1E807156"/>
    <w:rsid w:val="1EA657F6"/>
    <w:rsid w:val="1F097CB6"/>
    <w:rsid w:val="213552D3"/>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0845C0"/>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8B612DA"/>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 w:val="7FA01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4</TotalTime>
  <ScaleCrop>false</ScaleCrop>
  <LinksUpToDate>false</LinksUpToDate>
  <CharactersWithSpaces>7696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2021-06-04T10:22:31Z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5550B79051C6457F909FBD4075CEEA88</vt:lpwstr>
  </property>
</Properties>
</file>